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24A" w:rsidRPr="0020470C" w:rsidRDefault="003B524A" w:rsidP="003B524A">
      <w:pPr>
        <w:spacing w:after="0" w:line="240" w:lineRule="auto"/>
        <w:jc w:val="center"/>
        <w:rPr>
          <w:b/>
        </w:rPr>
      </w:pPr>
      <w:r w:rsidRPr="0020470C">
        <w:rPr>
          <w:b/>
        </w:rPr>
        <w:t>Testimony of Kathy Griesmyer</w:t>
      </w:r>
    </w:p>
    <w:p w:rsidR="003B524A" w:rsidRPr="0020470C" w:rsidRDefault="003B524A" w:rsidP="003B524A">
      <w:pPr>
        <w:spacing w:after="0" w:line="240" w:lineRule="auto"/>
        <w:jc w:val="center"/>
        <w:rPr>
          <w:b/>
        </w:rPr>
      </w:pPr>
      <w:r>
        <w:rPr>
          <w:b/>
        </w:rPr>
        <w:t>HB 568</w:t>
      </w:r>
      <w:r w:rsidRPr="0020470C">
        <w:rPr>
          <w:b/>
        </w:rPr>
        <w:t xml:space="preserve"> – </w:t>
      </w:r>
      <w:r>
        <w:rPr>
          <w:b/>
        </w:rPr>
        <w:t>Anti-foreign law bill</w:t>
      </w:r>
    </w:p>
    <w:p w:rsidR="003B524A" w:rsidRPr="0020470C" w:rsidRDefault="003B524A" w:rsidP="003B524A">
      <w:pPr>
        <w:spacing w:after="0" w:line="240" w:lineRule="auto"/>
        <w:jc w:val="center"/>
        <w:rPr>
          <w:b/>
        </w:rPr>
      </w:pPr>
      <w:r w:rsidRPr="0020470C">
        <w:rPr>
          <w:b/>
        </w:rPr>
        <w:t xml:space="preserve">Before </w:t>
      </w:r>
      <w:r>
        <w:rPr>
          <w:b/>
        </w:rPr>
        <w:t>House State Affairs</w:t>
      </w:r>
      <w:r w:rsidRPr="0020470C">
        <w:rPr>
          <w:b/>
        </w:rPr>
        <w:t xml:space="preserve"> Committee </w:t>
      </w:r>
    </w:p>
    <w:p w:rsidR="003B524A" w:rsidRDefault="003B524A" w:rsidP="003B524A">
      <w:pPr>
        <w:spacing w:after="0" w:line="240" w:lineRule="auto"/>
        <w:jc w:val="center"/>
        <w:rPr>
          <w:b/>
        </w:rPr>
      </w:pPr>
      <w:r>
        <w:rPr>
          <w:b/>
        </w:rPr>
        <w:t>March 16</w:t>
      </w:r>
      <w:r w:rsidRPr="0020470C">
        <w:rPr>
          <w:b/>
        </w:rPr>
        <w:t>, 2016</w:t>
      </w:r>
    </w:p>
    <w:p w:rsidR="003B524A" w:rsidRPr="0020470C" w:rsidRDefault="003B524A" w:rsidP="003B524A">
      <w:pPr>
        <w:spacing w:after="0" w:line="240" w:lineRule="auto"/>
        <w:jc w:val="center"/>
        <w:rPr>
          <w:b/>
        </w:rPr>
      </w:pPr>
    </w:p>
    <w:p w:rsidR="003B524A" w:rsidRDefault="003B524A" w:rsidP="003B524A">
      <w:r>
        <w:t xml:space="preserve">The ACLU stand before you today in opposition to </w:t>
      </w:r>
      <w:r>
        <w:t>HB</w:t>
      </w:r>
      <w:r w:rsidRPr="00805BDF">
        <w:t xml:space="preserve"> 5</w:t>
      </w:r>
      <w:r>
        <w:t>6</w:t>
      </w:r>
      <w:r>
        <w:t xml:space="preserve">8. This legislation, which </w:t>
      </w:r>
      <w:r>
        <w:t xml:space="preserve">purports to regulate Idaho courts’ use and recognition of foreign law is not only unnecessary, but also has the potential to create significant unintended consequences in the </w:t>
      </w:r>
      <w:r w:rsidR="00D424A1">
        <w:t>everyday lives of Idahoans.</w:t>
      </w:r>
    </w:p>
    <w:p w:rsidR="003B524A" w:rsidRPr="003B524A" w:rsidRDefault="00FB0757" w:rsidP="00FB0757">
      <w:pPr>
        <w:ind w:left="30"/>
      </w:pPr>
      <w:r>
        <w:t xml:space="preserve">Simply stated - </w:t>
      </w:r>
      <w:r w:rsidR="003B524A" w:rsidRPr="00FB0757">
        <w:t xml:space="preserve">HB 568 is a solution in search of a problem. </w:t>
      </w:r>
      <w:r w:rsidR="003B524A" w:rsidRPr="003B524A">
        <w:t>This bill is motivated by an unfounded concern that so-called “</w:t>
      </w:r>
      <w:proofErr w:type="spellStart"/>
      <w:r w:rsidR="003B524A" w:rsidRPr="003B524A">
        <w:t>Sharia</w:t>
      </w:r>
      <w:proofErr w:type="spellEnd"/>
      <w:r w:rsidR="003B524A" w:rsidRPr="003B524A">
        <w:t xml:space="preserve"> law” is overtaking Idaho courts, but there is no evidence of that.</w:t>
      </w:r>
      <w:r>
        <w:t xml:space="preserve"> </w:t>
      </w:r>
      <w:r w:rsidR="003B524A" w:rsidRPr="003B524A">
        <w:t>The First Amendment already prohibits U.S. courts from imposing religious law as civil law, so this measure is completely unnecessary.</w:t>
      </w:r>
    </w:p>
    <w:p w:rsidR="003B524A" w:rsidRPr="003B524A" w:rsidRDefault="003B524A" w:rsidP="003B524A">
      <w:r w:rsidRPr="003B524A">
        <w:t xml:space="preserve">HB 568 will </w:t>
      </w:r>
      <w:r w:rsidR="00FB0757">
        <w:t>also generate</w:t>
      </w:r>
      <w:r w:rsidRPr="003B524A">
        <w:t xml:space="preserve"> serious unintended consequences</w:t>
      </w:r>
      <w:r w:rsidR="00FB0757">
        <w:t xml:space="preserve"> by c</w:t>
      </w:r>
      <w:r w:rsidRPr="003B524A">
        <w:t xml:space="preserve">reating confusion and </w:t>
      </w:r>
      <w:r w:rsidR="00FB0757">
        <w:t xml:space="preserve">causing </w:t>
      </w:r>
      <w:r w:rsidRPr="003B524A">
        <w:t>a legal nigh</w:t>
      </w:r>
      <w:r w:rsidR="00D424A1">
        <w:t>tmare for many Idaho</w:t>
      </w:r>
      <w:r w:rsidR="00FB0757">
        <w:t xml:space="preserve"> families.</w:t>
      </w:r>
      <w:r w:rsidRPr="003B524A">
        <w:t xml:space="preserve"> Courts routinely consider the law of foreign countries</w:t>
      </w:r>
      <w:r w:rsidR="00FB0757">
        <w:t xml:space="preserve"> for a variety of reasons and it is</w:t>
      </w:r>
      <w:r w:rsidRPr="003B524A">
        <w:t xml:space="preserve"> especially important in family law matters. Courts look to foreign law to determine the validity of marriages and adoption agreements conducted abroad. But under this bill, a court would be prohibited from recognizing a foreign marriage, an international adoption agreement, or a will executed abroad unless the court first determines that the pertinent country’s legal system provides the </w:t>
      </w:r>
      <w:r w:rsidRPr="00FB0757">
        <w:rPr>
          <w:i/>
        </w:rPr>
        <w:t>exact same rights and liberties as our laws</w:t>
      </w:r>
      <w:r w:rsidRPr="003B524A">
        <w:t xml:space="preserve"> with respect to the issue at hand.  That’s a problem because most countries have laws that differ from ours, even when it comes to fundamental liberties and rights, and it could leave many</w:t>
      </w:r>
      <w:r w:rsidR="00FB0757">
        <w:t xml:space="preserve"> Idaho</w:t>
      </w:r>
      <w:r w:rsidRPr="003B524A">
        <w:t xml:space="preserve"> families in an untenable position.</w:t>
      </w:r>
    </w:p>
    <w:p w:rsidR="003B524A" w:rsidRPr="003B524A" w:rsidRDefault="00393F49" w:rsidP="003B524A">
      <w:r>
        <w:t>For example, o</w:t>
      </w:r>
      <w:r w:rsidR="003B524A" w:rsidRPr="003B524A">
        <w:t>therwise legal marriages w</w:t>
      </w:r>
      <w:r w:rsidR="00FB0757">
        <w:t xml:space="preserve">ould be invalidated. </w:t>
      </w:r>
      <w:r>
        <w:t>A</w:t>
      </w:r>
      <w:r w:rsidR="003B524A" w:rsidRPr="003B524A">
        <w:t xml:space="preserve"> couple from Idaho who is married abroad would be unable to have their marriage recognized at home unless they choose to be married in a country that provides the exact same procedural and substantive rights relating to marriage as our laws do.  Similarly, married couples who move to Idaho from countries lacking the exact same legal protections (for example, Israel) might not be able to have their marriages recognized.  </w:t>
      </w:r>
    </w:p>
    <w:p w:rsidR="003B524A" w:rsidRPr="003B524A" w:rsidRDefault="00393F49" w:rsidP="003B524A">
      <w:r>
        <w:t>Also,</w:t>
      </w:r>
      <w:r w:rsidR="003B524A" w:rsidRPr="003B524A">
        <w:t xml:space="preserve"> legal international adoptions w</w:t>
      </w:r>
      <w:r>
        <w:t>ould be voided. An</w:t>
      </w:r>
      <w:r w:rsidR="003B524A" w:rsidRPr="003B524A">
        <w:t xml:space="preserve"> Idaho family who adopts a child from a foreign country must obtain a foreign adoption decree in compliance with the law of that country.  But under HB 568, a court would be prevented from recognizing a foreign adoption decree as valid if the pertinent country does not provide the exact same procedural and substantive rights relating to adoption as our laws do.  The measure would also raise significant legal difficulties for adoption agencies, both religious and secular, that facilitate international adoptions.</w:t>
      </w:r>
    </w:p>
    <w:p w:rsidR="003B524A" w:rsidRPr="003B524A" w:rsidRDefault="00D309C5" w:rsidP="003B524A">
      <w:r>
        <w:t>This legislation could also weaken</w:t>
      </w:r>
      <w:r w:rsidR="003B524A" w:rsidRPr="003B524A">
        <w:t xml:space="preserve"> the</w:t>
      </w:r>
      <w:r>
        <w:t xml:space="preserve"> right of religious arbitration.</w:t>
      </w:r>
      <w:r w:rsidR="003B524A" w:rsidRPr="003B524A">
        <w:t xml:space="preserve"> Many people of faith, including followers of Christianity and Judaism, agree to settle family or business disputes and other matters through religious arbitration panels, and courts have long been permitted to enforce these agreements provided that doing so would not violate public policy or cause the court to become too entangled in </w:t>
      </w:r>
      <w:r w:rsidR="003B524A" w:rsidRPr="003B524A">
        <w:lastRenderedPageBreak/>
        <w:t>religion.</w:t>
      </w:r>
      <w:r>
        <w:rPr>
          <w:rStyle w:val="FootnoteReference"/>
        </w:rPr>
        <w:footnoteReference w:id="1"/>
      </w:r>
      <w:r w:rsidR="003B524A" w:rsidRPr="003B524A">
        <w:t xml:space="preserve">  However, because the religious systems of law used by these arbitration panels do not provide the exact same procedural and substantive rights as our civil laws do, such religious arbitration agreements could be deemed unenforceable by Idaho courts, impairing the right of people of faith to settle disputes in accordance with the principles of their religion.</w:t>
      </w:r>
    </w:p>
    <w:p w:rsidR="003B524A" w:rsidRPr="003B524A" w:rsidRDefault="00EA6BD1" w:rsidP="003B524A">
      <w:r>
        <w:t>Finally, HB 568 is b</w:t>
      </w:r>
      <w:r w:rsidR="003B524A" w:rsidRPr="003B524A">
        <w:t>ad for business and our economy</w:t>
      </w:r>
      <w:r>
        <w:t>.</w:t>
      </w:r>
      <w:r w:rsidR="003B524A" w:rsidRPr="003B524A">
        <w:t xml:space="preserve"> Despite the text of section 73-501(1), </w:t>
      </w:r>
      <w:r>
        <w:t>this bill</w:t>
      </w:r>
      <w:r w:rsidR="003B524A" w:rsidRPr="003B524A">
        <w:t xml:space="preserve"> could still cast uncertainty on international business transactions conducted by Idaho companies.  And it could drive away multinational corporations, jeopardizing Idaho’s ever-expanding international technology and agricultural industries by making it clear that Idaho’s policy for recognizing foreign law is based on unfounded xenophobia. These companies are more likely to take their business to another state, where they don’t have to contend with the risks posed by HB 568. </w:t>
      </w:r>
    </w:p>
    <w:p w:rsidR="003B524A" w:rsidRPr="003B524A" w:rsidRDefault="003B524A" w:rsidP="003B524A">
      <w:r w:rsidRPr="003B524A">
        <w:t xml:space="preserve">These are just a few examples of the serious problems with </w:t>
      </w:r>
      <w:r w:rsidR="00F444D4">
        <w:t>this legislation</w:t>
      </w:r>
      <w:r w:rsidRPr="003B524A">
        <w:t xml:space="preserve"> and we </w:t>
      </w:r>
      <w:r w:rsidR="00EA6BD1">
        <w:t>urge you to vote no and keep this bill in committee.</w:t>
      </w:r>
    </w:p>
    <w:p w:rsidR="003B524A" w:rsidRPr="003B524A" w:rsidRDefault="003B524A" w:rsidP="003B524A"/>
    <w:p w:rsidR="000B1C62" w:rsidRDefault="000B1C62"/>
    <w:sectPr w:rsidR="000B1C62" w:rsidSect="0035502C">
      <w:headerReference w:type="default" r:id="rId8"/>
      <w:footerReference w:type="default" r:id="rId9"/>
      <w:pgSz w:w="12240" w:h="15840"/>
      <w:pgMar w:top="1440" w:right="1440" w:bottom="1440" w:left="144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524A" w:rsidRDefault="003B524A" w:rsidP="003B524A">
      <w:pPr>
        <w:spacing w:after="0" w:line="240" w:lineRule="auto"/>
      </w:pPr>
      <w:r>
        <w:separator/>
      </w:r>
    </w:p>
  </w:endnote>
  <w:endnote w:type="continuationSeparator" w:id="0">
    <w:p w:rsidR="003B524A" w:rsidRDefault="003B524A" w:rsidP="003B52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24A" w:rsidRDefault="003B524A" w:rsidP="003B524A">
    <w:pPr>
      <w:pStyle w:val="Footer"/>
      <w:jc w:val="center"/>
    </w:pPr>
  </w:p>
  <w:p w:rsidR="003B524A" w:rsidRDefault="003B524A" w:rsidP="003B524A">
    <w:pPr>
      <w:pStyle w:val="Footer"/>
      <w:jc w:val="center"/>
    </w:pPr>
    <w:r>
      <w:rPr>
        <w:noProof/>
      </w:rPr>
      <w:pict>
        <v:shapetype id="_x0000_t32" coordsize="21600,21600" o:spt="32" o:oned="t" path="m,l21600,21600e" filled="f">
          <v:path arrowok="t" fillok="f" o:connecttype="none"/>
          <o:lock v:ext="edit" shapetype="t"/>
        </v:shapetype>
        <v:shape id="AutoShape 1" o:spid="_x0000_s1025" type="#_x0000_t32" style="position:absolute;left:0;text-align:left;margin-left:-33.75pt;margin-top:7.3pt;width:541.5pt;height:0;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4dIAIAADsEAAAOAAAAZHJzL2Uyb0RvYy54bWysU82O2jAQvlfqO1i+QxIaW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"/>
      </w:pict>
    </w:r>
  </w:p>
  <w:p w:rsidR="003B524A" w:rsidRPr="005F6BF1" w:rsidRDefault="003B524A" w:rsidP="003B524A">
    <w:pPr>
      <w:pStyle w:val="Footer"/>
      <w:jc w:val="center"/>
    </w:pPr>
    <w:r>
      <w:t>F</w:t>
    </w:r>
    <w:r w:rsidRPr="005F6BF1">
      <w:t>or questions or comments, contact Kathy Griesmyer, Public Policy Strategist, at 208-344-9750 x1204.</w:t>
    </w:r>
  </w:p>
  <w:p w:rsidR="003B524A" w:rsidRDefault="003B52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524A" w:rsidRDefault="003B524A" w:rsidP="003B524A">
      <w:pPr>
        <w:spacing w:after="0" w:line="240" w:lineRule="auto"/>
      </w:pPr>
      <w:r>
        <w:separator/>
      </w:r>
    </w:p>
  </w:footnote>
  <w:footnote w:type="continuationSeparator" w:id="0">
    <w:p w:rsidR="003B524A" w:rsidRDefault="003B524A" w:rsidP="003B524A">
      <w:pPr>
        <w:spacing w:after="0" w:line="240" w:lineRule="auto"/>
      </w:pPr>
      <w:r>
        <w:continuationSeparator/>
      </w:r>
    </w:p>
  </w:footnote>
  <w:footnote w:id="1">
    <w:p w:rsidR="00D309C5" w:rsidRPr="00545CC3" w:rsidRDefault="00D309C5" w:rsidP="00D309C5">
      <w:pPr>
        <w:pStyle w:val="NormalWeb"/>
        <w:rPr>
          <w:rFonts w:ascii="Calibri" w:hAnsi="Calibri"/>
          <w:sz w:val="22"/>
          <w:szCs w:val="22"/>
        </w:rPr>
      </w:pPr>
      <w:r>
        <w:rPr>
          <w:rStyle w:val="FootnoteReference"/>
        </w:rPr>
        <w:footnoteRef/>
      </w:r>
      <w:r>
        <w:t xml:space="preserve"> </w:t>
      </w:r>
      <w:r>
        <w:rPr>
          <w:rFonts w:ascii="Calibri" w:hAnsi="Calibri"/>
          <w:sz w:val="22"/>
          <w:szCs w:val="22"/>
        </w:rPr>
        <w:t>Fo</w:t>
      </w:r>
      <w:r w:rsidRPr="00CA5332">
        <w:rPr>
          <w:rFonts w:ascii="Calibri" w:hAnsi="Calibri"/>
          <w:sz w:val="22"/>
          <w:szCs w:val="22"/>
        </w:rPr>
        <w:t xml:space="preserve">r example, </w:t>
      </w:r>
      <w:r>
        <w:rPr>
          <w:rFonts w:ascii="Calibri" w:hAnsi="Calibri"/>
          <w:sz w:val="22"/>
          <w:szCs w:val="22"/>
        </w:rPr>
        <w:t xml:space="preserve">in </w:t>
      </w:r>
      <w:proofErr w:type="spellStart"/>
      <w:r w:rsidRPr="00545CC3">
        <w:rPr>
          <w:rFonts w:ascii="Calibri" w:hAnsi="Calibri"/>
          <w:i/>
          <w:iCs/>
          <w:sz w:val="22"/>
          <w:szCs w:val="22"/>
        </w:rPr>
        <w:t>Zeiler</w:t>
      </w:r>
      <w:proofErr w:type="spellEnd"/>
      <w:r w:rsidRPr="00545CC3">
        <w:rPr>
          <w:rFonts w:ascii="Calibri" w:hAnsi="Calibri"/>
          <w:i/>
          <w:iCs/>
          <w:sz w:val="22"/>
          <w:szCs w:val="22"/>
        </w:rPr>
        <w:t xml:space="preserve"> v. </w:t>
      </w:r>
      <w:proofErr w:type="spellStart"/>
      <w:r w:rsidRPr="00545CC3">
        <w:rPr>
          <w:rFonts w:ascii="Calibri" w:hAnsi="Calibri"/>
          <w:i/>
          <w:iCs/>
          <w:sz w:val="22"/>
          <w:szCs w:val="22"/>
        </w:rPr>
        <w:t>Deitsch</w:t>
      </w:r>
      <w:proofErr w:type="spellEnd"/>
      <w:r w:rsidRPr="00545CC3">
        <w:rPr>
          <w:rFonts w:ascii="Calibri" w:hAnsi="Calibri"/>
          <w:sz w:val="22"/>
          <w:szCs w:val="22"/>
        </w:rPr>
        <w:t>, 500 F.3d 157, 164 (2d Cir. 2007)</w:t>
      </w:r>
      <w:r>
        <w:rPr>
          <w:rFonts w:ascii="Calibri" w:hAnsi="Calibri"/>
          <w:sz w:val="22"/>
          <w:szCs w:val="22"/>
        </w:rPr>
        <w:t xml:space="preserve">, the U.S. Court of Appeals for the Second Circuit properly </w:t>
      </w:r>
      <w:r w:rsidRPr="00545CC3">
        <w:rPr>
          <w:rFonts w:ascii="Calibri" w:hAnsi="Calibri"/>
          <w:sz w:val="22"/>
          <w:szCs w:val="22"/>
        </w:rPr>
        <w:t>enforc</w:t>
      </w:r>
      <w:r>
        <w:rPr>
          <w:rFonts w:ascii="Calibri" w:hAnsi="Calibri"/>
          <w:sz w:val="22"/>
          <w:szCs w:val="22"/>
        </w:rPr>
        <w:t>ed an</w:t>
      </w:r>
      <w:r w:rsidRPr="00545CC3">
        <w:rPr>
          <w:rFonts w:ascii="Calibri" w:hAnsi="Calibri"/>
          <w:sz w:val="22"/>
          <w:szCs w:val="22"/>
        </w:rPr>
        <w:t xml:space="preserve"> agreement</w:t>
      </w:r>
      <w:r>
        <w:rPr>
          <w:rFonts w:ascii="Calibri" w:hAnsi="Calibri"/>
          <w:sz w:val="22"/>
          <w:szCs w:val="22"/>
        </w:rPr>
        <w:t xml:space="preserve"> among two Jewish business partners</w:t>
      </w:r>
      <w:r w:rsidRPr="00545CC3">
        <w:rPr>
          <w:rFonts w:ascii="Calibri" w:hAnsi="Calibri"/>
          <w:sz w:val="22"/>
          <w:szCs w:val="22"/>
        </w:rPr>
        <w:t xml:space="preserve"> to arbitrate</w:t>
      </w:r>
      <w:r>
        <w:rPr>
          <w:rFonts w:ascii="Calibri" w:hAnsi="Calibri"/>
          <w:sz w:val="22"/>
          <w:szCs w:val="22"/>
        </w:rPr>
        <w:t xml:space="preserve"> the</w:t>
      </w:r>
      <w:r w:rsidRPr="00545CC3">
        <w:rPr>
          <w:rFonts w:ascii="Calibri" w:hAnsi="Calibri"/>
          <w:sz w:val="22"/>
          <w:szCs w:val="22"/>
        </w:rPr>
        <w:t xml:space="preserve"> division of </w:t>
      </w:r>
      <w:r>
        <w:rPr>
          <w:rFonts w:ascii="Calibri" w:hAnsi="Calibri"/>
          <w:sz w:val="22"/>
          <w:szCs w:val="22"/>
        </w:rPr>
        <w:t xml:space="preserve">their </w:t>
      </w:r>
      <w:r w:rsidRPr="00545CC3">
        <w:rPr>
          <w:rFonts w:ascii="Calibri" w:hAnsi="Calibri"/>
          <w:sz w:val="22"/>
          <w:szCs w:val="22"/>
        </w:rPr>
        <w:t>assets before</w:t>
      </w:r>
      <w:r>
        <w:rPr>
          <w:rFonts w:ascii="Calibri" w:hAnsi="Calibri"/>
          <w:sz w:val="22"/>
          <w:szCs w:val="22"/>
        </w:rPr>
        <w:t xml:space="preserve"> a</w:t>
      </w:r>
      <w:r w:rsidRPr="00545CC3">
        <w:rPr>
          <w:rFonts w:ascii="Calibri" w:hAnsi="Calibri"/>
          <w:sz w:val="22"/>
          <w:szCs w:val="22"/>
        </w:rPr>
        <w:t xml:space="preserve"> Jewish arbitration panel</w:t>
      </w:r>
      <w:r>
        <w:rPr>
          <w:rFonts w:ascii="Calibri" w:hAnsi="Calibri"/>
          <w:sz w:val="22"/>
          <w:szCs w:val="22"/>
        </w:rPr>
        <w:t xml:space="preserve">).  And in </w:t>
      </w:r>
      <w:r w:rsidRPr="00545CC3">
        <w:rPr>
          <w:rFonts w:ascii="Calibri" w:hAnsi="Calibri"/>
          <w:i/>
          <w:iCs/>
          <w:sz w:val="22"/>
          <w:szCs w:val="22"/>
        </w:rPr>
        <w:t>Encore Productions, Inc. v. Promise Keepers</w:t>
      </w:r>
      <w:r>
        <w:rPr>
          <w:rFonts w:ascii="Calibri" w:hAnsi="Calibri"/>
          <w:sz w:val="22"/>
          <w:szCs w:val="22"/>
        </w:rPr>
        <w:t>, 53 F. Supp.2d 1101, 1112</w:t>
      </w:r>
      <w:r w:rsidRPr="00545CC3">
        <w:rPr>
          <w:rFonts w:ascii="Calibri" w:hAnsi="Calibri"/>
          <w:sz w:val="22"/>
          <w:szCs w:val="22"/>
        </w:rPr>
        <w:t xml:space="preserve"> (D. Colo. 1999)</w:t>
      </w:r>
      <w:r>
        <w:rPr>
          <w:rFonts w:ascii="Calibri" w:hAnsi="Calibri"/>
          <w:sz w:val="22"/>
          <w:szCs w:val="22"/>
        </w:rPr>
        <w:t>, a federal court properly enforced an</w:t>
      </w:r>
      <w:r w:rsidRPr="00545CC3">
        <w:rPr>
          <w:rFonts w:ascii="Calibri" w:hAnsi="Calibri"/>
          <w:sz w:val="22"/>
          <w:szCs w:val="22"/>
        </w:rPr>
        <w:t xml:space="preserve"> agreement to arbitrate </w:t>
      </w:r>
      <w:r>
        <w:rPr>
          <w:rFonts w:ascii="Calibri" w:hAnsi="Calibri"/>
          <w:sz w:val="22"/>
          <w:szCs w:val="22"/>
        </w:rPr>
        <w:t xml:space="preserve">a business dispute </w:t>
      </w:r>
      <w:r w:rsidRPr="00545CC3">
        <w:rPr>
          <w:rFonts w:ascii="Calibri" w:hAnsi="Calibri"/>
          <w:sz w:val="22"/>
          <w:szCs w:val="22"/>
        </w:rPr>
        <w:t>in accordance with the Rules of Procedure for Christian Conciliation because the plaintiff was “bound by its contract”)</w:t>
      </w:r>
      <w:r>
        <w:rPr>
          <w:rFonts w:ascii="Calibri" w:hAnsi="Calibri"/>
          <w:sz w:val="22"/>
          <w:szCs w:val="22"/>
        </w:rPr>
        <w:t>.</w:t>
      </w:r>
    </w:p>
    <w:p w:rsidR="00D309C5" w:rsidRDefault="00D309C5">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24A" w:rsidRDefault="003B524A" w:rsidP="003B524A">
    <w:pPr>
      <w:spacing w:after="0" w:line="240" w:lineRule="auto"/>
      <w:jc w:val="right"/>
      <w:rPr>
        <w:color w:val="365F91" w:themeColor="accent1" w:themeShade="BF"/>
        <w:sz w:val="18"/>
        <w:szCs w:val="18"/>
      </w:rPr>
    </w:pPr>
    <w:r w:rsidRPr="006F36F2">
      <w:rPr>
        <w:noProof/>
        <w:color w:val="365F91" w:themeColor="accent1" w:themeShade="BF"/>
        <w:sz w:val="18"/>
        <w:szCs w:val="18"/>
      </w:rPr>
      <w:drawing>
        <wp:anchor distT="0" distB="0" distL="114300" distR="114300" simplePos="0" relativeHeight="251659264" behindDoc="0" locked="0" layoutInCell="1" allowOverlap="1">
          <wp:simplePos x="0" y="0"/>
          <wp:positionH relativeFrom="column">
            <wp:posOffset>78044</wp:posOffset>
          </wp:positionH>
          <wp:positionV relativeFrom="paragraph">
            <wp:posOffset>38100</wp:posOffset>
          </wp:positionV>
          <wp:extent cx="1672077" cy="790575"/>
          <wp:effectExtent l="19050" t="0" r="4323" b="0"/>
          <wp:wrapNone/>
          <wp:docPr id="1" name="Picture 0" descr="ID-Anniversary-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nniversary-20.jpg"/>
                  <pic:cNvPicPr/>
                </pic:nvPicPr>
                <pic:blipFill>
                  <a:blip r:embed="rId1"/>
                  <a:stretch>
                    <a:fillRect/>
                  </a:stretch>
                </pic:blipFill>
                <pic:spPr>
                  <a:xfrm>
                    <a:off x="0" y="0"/>
                    <a:ext cx="1672077" cy="790575"/>
                  </a:xfrm>
                  <a:prstGeom prst="rect">
                    <a:avLst/>
                  </a:prstGeom>
                </pic:spPr>
              </pic:pic>
            </a:graphicData>
          </a:graphic>
        </wp:anchor>
      </w:drawing>
    </w:r>
    <w:r>
      <w:rPr>
        <w:color w:val="365F91" w:themeColor="accent1" w:themeShade="BF"/>
        <w:sz w:val="18"/>
        <w:szCs w:val="18"/>
      </w:rPr>
      <w:t>ACLU of Idaho</w:t>
    </w:r>
  </w:p>
  <w:p w:rsidR="003B524A" w:rsidRPr="005F6BF1" w:rsidRDefault="003B524A" w:rsidP="003B524A">
    <w:pPr>
      <w:spacing w:after="0" w:line="240" w:lineRule="auto"/>
      <w:jc w:val="right"/>
      <w:rPr>
        <w:color w:val="365F91" w:themeColor="accent1" w:themeShade="BF"/>
        <w:sz w:val="18"/>
        <w:szCs w:val="18"/>
      </w:rPr>
    </w:pPr>
    <w:r w:rsidRPr="005F6BF1">
      <w:rPr>
        <w:color w:val="365F91" w:themeColor="accent1" w:themeShade="BF"/>
        <w:sz w:val="18"/>
        <w:szCs w:val="18"/>
      </w:rPr>
      <w:t>PO Box 1897</w:t>
    </w:r>
  </w:p>
  <w:p w:rsidR="003B524A" w:rsidRPr="005F6BF1" w:rsidRDefault="003B524A" w:rsidP="003B524A">
    <w:pPr>
      <w:spacing w:after="0" w:line="240" w:lineRule="auto"/>
      <w:jc w:val="right"/>
      <w:rPr>
        <w:color w:val="365F91" w:themeColor="accent1" w:themeShade="BF"/>
        <w:sz w:val="18"/>
        <w:szCs w:val="18"/>
      </w:rPr>
    </w:pPr>
    <w:r w:rsidRPr="005F6BF1">
      <w:rPr>
        <w:color w:val="365F91" w:themeColor="accent1" w:themeShade="BF"/>
        <w:sz w:val="18"/>
        <w:szCs w:val="18"/>
      </w:rPr>
      <w:t>Boise, ID 83701</w:t>
    </w:r>
  </w:p>
  <w:p w:rsidR="003B524A" w:rsidRPr="005F6BF1" w:rsidRDefault="003B524A" w:rsidP="003B524A">
    <w:pPr>
      <w:spacing w:after="0" w:line="240" w:lineRule="auto"/>
      <w:jc w:val="right"/>
      <w:rPr>
        <w:color w:val="365F91" w:themeColor="accent1" w:themeShade="BF"/>
        <w:sz w:val="18"/>
        <w:szCs w:val="18"/>
      </w:rPr>
    </w:pPr>
    <w:r w:rsidRPr="005F6BF1">
      <w:rPr>
        <w:color w:val="365F91" w:themeColor="accent1" w:themeShade="BF"/>
        <w:sz w:val="18"/>
        <w:szCs w:val="18"/>
      </w:rPr>
      <w:t xml:space="preserve">(208) 344-9750 </w:t>
    </w:r>
  </w:p>
  <w:p w:rsidR="003B524A" w:rsidRPr="005F6BF1" w:rsidRDefault="003B524A" w:rsidP="003B524A">
    <w:pPr>
      <w:pStyle w:val="Header"/>
      <w:ind w:left="2160"/>
      <w:jc w:val="right"/>
    </w:pPr>
    <w:r w:rsidRPr="005F6BF1">
      <w:tab/>
    </w:r>
    <w:r w:rsidRPr="005F6BF1">
      <w:tab/>
    </w:r>
    <w:hyperlink r:id="rId2" w:history="1">
      <w:r w:rsidRPr="005F6BF1">
        <w:rPr>
          <w:rStyle w:val="Hyperlink"/>
          <w:color w:val="365F91" w:themeColor="accent1" w:themeShade="BF"/>
          <w:sz w:val="18"/>
          <w:szCs w:val="18"/>
        </w:rPr>
        <w:t>www.acluidaho.org</w:t>
      </w:r>
    </w:hyperlink>
  </w:p>
  <w:p w:rsidR="003B524A" w:rsidRDefault="003B524A">
    <w:pPr>
      <w:pStyle w:val="Header"/>
    </w:pPr>
  </w:p>
  <w:p w:rsidR="003B524A" w:rsidRDefault="003B52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47EDF"/>
    <w:multiLevelType w:val="hybridMultilevel"/>
    <w:tmpl w:val="0E02C6D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
    <w:nsid w:val="408C73C0"/>
    <w:multiLevelType w:val="hybridMultilevel"/>
    <w:tmpl w:val="4CBC5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
    <w:nsid w:val="672F3B5F"/>
    <w:multiLevelType w:val="hybridMultilevel"/>
    <w:tmpl w:val="D1AC60F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20"/>
  <w:evenAndOddHeaders/>
  <w:drawingGridHorizontalSpacing w:val="110"/>
  <w:displayHorizontalDrawingGridEvery w:val="2"/>
  <w:characterSpacingControl w:val="doNotCompress"/>
  <w:hdrShapeDefaults>
    <o:shapedefaults v:ext="edit" spidmax="2050"/>
    <o:shapelayout v:ext="edit">
      <o:idmap v:ext="edit" data="1"/>
      <o:rules v:ext="edit">
        <o:r id="V:Rule1" type="connector" idref="#AutoShape 1"/>
      </o:rules>
    </o:shapelayout>
  </w:hdrShapeDefaults>
  <w:footnotePr>
    <w:footnote w:id="-1"/>
    <w:footnote w:id="0"/>
  </w:footnotePr>
  <w:endnotePr>
    <w:endnote w:id="-1"/>
    <w:endnote w:id="0"/>
  </w:endnotePr>
  <w:compat/>
  <w:rsids>
    <w:rsidRoot w:val="003B524A"/>
    <w:rsid w:val="000B1C62"/>
    <w:rsid w:val="0035502C"/>
    <w:rsid w:val="00393F49"/>
    <w:rsid w:val="003B524A"/>
    <w:rsid w:val="00BD0178"/>
    <w:rsid w:val="00D309C5"/>
    <w:rsid w:val="00D424A1"/>
    <w:rsid w:val="00EA6BD1"/>
    <w:rsid w:val="00F444D4"/>
    <w:rsid w:val="00FB07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24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2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24A"/>
  </w:style>
  <w:style w:type="paragraph" w:styleId="Footer">
    <w:name w:val="footer"/>
    <w:basedOn w:val="Normal"/>
    <w:link w:val="FooterChar"/>
    <w:uiPriority w:val="99"/>
    <w:semiHidden/>
    <w:unhideWhenUsed/>
    <w:rsid w:val="003B524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B524A"/>
  </w:style>
  <w:style w:type="paragraph" w:styleId="BalloonText">
    <w:name w:val="Balloon Text"/>
    <w:basedOn w:val="Normal"/>
    <w:link w:val="BalloonTextChar"/>
    <w:uiPriority w:val="99"/>
    <w:semiHidden/>
    <w:unhideWhenUsed/>
    <w:rsid w:val="003B52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24A"/>
    <w:rPr>
      <w:rFonts w:ascii="Tahoma" w:hAnsi="Tahoma" w:cs="Tahoma"/>
      <w:sz w:val="16"/>
      <w:szCs w:val="16"/>
    </w:rPr>
  </w:style>
  <w:style w:type="character" w:styleId="Hyperlink">
    <w:name w:val="Hyperlink"/>
    <w:basedOn w:val="DefaultParagraphFont"/>
    <w:uiPriority w:val="99"/>
    <w:unhideWhenUsed/>
    <w:rsid w:val="003B524A"/>
    <w:rPr>
      <w:color w:val="0000FF" w:themeColor="hyperlink"/>
      <w:u w:val="single"/>
    </w:rPr>
  </w:style>
  <w:style w:type="paragraph" w:styleId="ListParagraph">
    <w:name w:val="List Paragraph"/>
    <w:basedOn w:val="Normal"/>
    <w:uiPriority w:val="34"/>
    <w:qFormat/>
    <w:rsid w:val="003B524A"/>
    <w:pPr>
      <w:ind w:left="720"/>
      <w:contextualSpacing/>
    </w:pPr>
    <w:rPr>
      <w:rFonts w:eastAsiaTheme="minorHAnsi"/>
    </w:rPr>
  </w:style>
  <w:style w:type="paragraph" w:styleId="FootnoteText">
    <w:name w:val="footnote text"/>
    <w:basedOn w:val="Normal"/>
    <w:link w:val="FootnoteTextChar"/>
    <w:uiPriority w:val="99"/>
    <w:unhideWhenUsed/>
    <w:rsid w:val="003B524A"/>
    <w:pPr>
      <w:spacing w:after="0" w:line="240" w:lineRule="auto"/>
    </w:pPr>
    <w:rPr>
      <w:rFonts w:eastAsiaTheme="minorHAnsi"/>
      <w:sz w:val="24"/>
      <w:szCs w:val="24"/>
    </w:rPr>
  </w:style>
  <w:style w:type="character" w:customStyle="1" w:styleId="FootnoteTextChar">
    <w:name w:val="Footnote Text Char"/>
    <w:basedOn w:val="DefaultParagraphFont"/>
    <w:link w:val="FootnoteText"/>
    <w:uiPriority w:val="99"/>
    <w:rsid w:val="003B524A"/>
    <w:rPr>
      <w:sz w:val="24"/>
      <w:szCs w:val="24"/>
    </w:rPr>
  </w:style>
  <w:style w:type="character" w:styleId="FootnoteReference">
    <w:name w:val="footnote reference"/>
    <w:basedOn w:val="DefaultParagraphFont"/>
    <w:uiPriority w:val="99"/>
    <w:unhideWhenUsed/>
    <w:rsid w:val="003B524A"/>
    <w:rPr>
      <w:vertAlign w:val="superscript"/>
    </w:rPr>
  </w:style>
  <w:style w:type="paragraph" w:styleId="NormalWeb">
    <w:name w:val="Normal (Web)"/>
    <w:basedOn w:val="Normal"/>
    <w:uiPriority w:val="99"/>
    <w:semiHidden/>
    <w:unhideWhenUsed/>
    <w:rsid w:val="003B524A"/>
    <w:pPr>
      <w:spacing w:before="100" w:beforeAutospacing="1" w:after="100" w:afterAutospacing="1" w:line="240" w:lineRule="auto"/>
    </w:pPr>
    <w:rPr>
      <w:rFonts w:ascii="Times New Roman" w:eastAsiaTheme="minorHAns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acluidaho.or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C5473A-439A-4DE5-BD74-DDE8F115D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Pages>
  <Words>623</Words>
  <Characters>3556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kgriesmyer</dc:creator>
  <cp:lastModifiedBy>kgriesmyer</cp:lastModifiedBy>
  <cp:revision>8</cp:revision>
  <dcterms:created xsi:type="dcterms:W3CDTF">2016-03-15T22:02:00Z</dcterms:created>
  <dcterms:modified xsi:type="dcterms:W3CDTF">2016-03-15T23:50:00Z</dcterms:modified>
</cp:coreProperties>
</file>